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8D5C54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KTL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Explanation for </w:t>
      </w:r>
      <w:r w:rsidR="00F02E19">
        <w:rPr>
          <w:rFonts w:ascii="Arial" w:hAnsi="Arial" w:cs="Arial"/>
          <w:b/>
          <w:sz w:val="20"/>
          <w:szCs w:val="20"/>
        </w:rPr>
        <w:t>financial statement</w:t>
      </w:r>
      <w:r w:rsidR="004B0E3B"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B0E3B">
        <w:rPr>
          <w:rFonts w:ascii="Arial" w:hAnsi="Arial" w:cs="Arial"/>
          <w:sz w:val="20"/>
          <w:szCs w:val="20"/>
        </w:rPr>
        <w:t>31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D5C54" w:rsidRPr="008D5C54">
        <w:rPr>
          <w:rFonts w:ascii="Arial" w:hAnsi="Arial" w:cs="Arial"/>
          <w:sz w:val="20"/>
          <w:szCs w:val="20"/>
        </w:rPr>
        <w:t>ThangLong</w:t>
      </w:r>
      <w:proofErr w:type="spellEnd"/>
      <w:r w:rsidR="008D5C54" w:rsidRPr="008D5C54">
        <w:rPr>
          <w:rFonts w:ascii="Arial" w:hAnsi="Arial" w:cs="Arial"/>
          <w:sz w:val="20"/>
          <w:szCs w:val="20"/>
        </w:rPr>
        <w:t xml:space="preserve"> Metal Wares Joint Stock Company</w:t>
      </w:r>
      <w:r w:rsidR="008D5C54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financial statement</w:t>
      </w:r>
      <w:r w:rsidR="004B0E3B">
        <w:rPr>
          <w:rFonts w:ascii="Arial" w:hAnsi="Arial" w:cs="Arial"/>
          <w:sz w:val="20"/>
          <w:szCs w:val="20"/>
        </w:rPr>
        <w:t>s</w:t>
      </w:r>
      <w:r w:rsidR="00F02E19">
        <w:rPr>
          <w:rFonts w:ascii="Arial" w:hAnsi="Arial" w:cs="Arial"/>
          <w:sz w:val="20"/>
          <w:szCs w:val="20"/>
        </w:rPr>
        <w:t xml:space="preserve">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8D5C54" w:rsidRDefault="008D5C54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8D5C54">
        <w:rPr>
          <w:rFonts w:ascii="Arial" w:hAnsi="Arial" w:cs="Arial"/>
          <w:sz w:val="20"/>
          <w:szCs w:val="20"/>
        </w:rPr>
        <w:t xml:space="preserve">Explanation for </w:t>
      </w:r>
      <w:r>
        <w:rPr>
          <w:rFonts w:ascii="Arial" w:hAnsi="Arial" w:cs="Arial"/>
          <w:sz w:val="20"/>
          <w:szCs w:val="20"/>
        </w:rPr>
        <w:t xml:space="preserve">the difference of over 10% in </w:t>
      </w:r>
      <w:r w:rsidRPr="008D5C54">
        <w:rPr>
          <w:rFonts w:ascii="Arial" w:hAnsi="Arial" w:cs="Arial"/>
          <w:sz w:val="20"/>
          <w:szCs w:val="20"/>
        </w:rPr>
        <w:t>financial statements of 2019</w:t>
      </w:r>
      <w:r>
        <w:rPr>
          <w:rFonts w:ascii="Arial" w:hAnsi="Arial" w:cs="Arial"/>
          <w:sz w:val="20"/>
          <w:szCs w:val="20"/>
        </w:rPr>
        <w:t xml:space="preserve"> year on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3090"/>
        <w:gridCol w:w="2137"/>
        <w:gridCol w:w="1911"/>
        <w:gridCol w:w="1910"/>
      </w:tblGrid>
      <w:tr w:rsidR="008D5C54" w:rsidTr="007D449B">
        <w:tc>
          <w:tcPr>
            <w:tcW w:w="528" w:type="dxa"/>
          </w:tcPr>
          <w:p w:rsidR="008D5C54" w:rsidRDefault="008D5C54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090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137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1911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1910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</w:tr>
      <w:tr w:rsidR="008D5C54" w:rsidTr="007D449B">
        <w:tc>
          <w:tcPr>
            <w:tcW w:w="528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0" w:type="dxa"/>
          </w:tcPr>
          <w:p w:rsidR="008D5C54" w:rsidRDefault="00EF7457" w:rsidP="00EF74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Net sales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8D5C54">
              <w:rPr>
                <w:rFonts w:ascii="Arial" w:hAnsi="Arial" w:cs="Arial"/>
                <w:sz w:val="20"/>
                <w:szCs w:val="20"/>
              </w:rPr>
              <w:t xml:space="preserve"> goods and </w:t>
            </w:r>
            <w:r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2137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898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676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911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904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973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371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1910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883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695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</w:tr>
      <w:tr w:rsidR="008D5C54" w:rsidTr="007D449B">
        <w:tc>
          <w:tcPr>
            <w:tcW w:w="528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0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income</w:t>
            </w:r>
          </w:p>
        </w:tc>
        <w:tc>
          <w:tcPr>
            <w:tcW w:w="2137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144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462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460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911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158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058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910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570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598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</w:tr>
      <w:tr w:rsidR="008D5C54" w:rsidTr="007D449B">
        <w:tc>
          <w:tcPr>
            <w:tcW w:w="528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0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2137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947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707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062</w:t>
            </w:r>
          </w:p>
        </w:tc>
        <w:tc>
          <w:tcPr>
            <w:tcW w:w="1911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891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355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910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943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648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</w:tr>
      <w:tr w:rsidR="008D5C54" w:rsidTr="007D449B">
        <w:tc>
          <w:tcPr>
            <w:tcW w:w="528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0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137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940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147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911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891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355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910" w:type="dxa"/>
          </w:tcPr>
          <w:p w:rsidR="008D5C54" w:rsidRDefault="00EF7457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C54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951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5C54">
              <w:rPr>
                <w:rFonts w:ascii="Arial" w:hAnsi="Arial" w:cs="Arial"/>
                <w:sz w:val="20"/>
                <w:szCs w:val="20"/>
              </w:rPr>
              <w:t>208</w:t>
            </w:r>
            <w:r>
              <w:rPr>
                <w:rFonts w:ascii="Arial" w:hAnsi="Arial" w:cs="Arial"/>
                <w:sz w:val="20"/>
                <w:szCs w:val="20"/>
              </w:rPr>
              <w:t>,464</w:t>
            </w:r>
          </w:p>
        </w:tc>
      </w:tr>
    </w:tbl>
    <w:p w:rsidR="00EF7457" w:rsidRDefault="00EF745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54" w:rsidRDefault="008D5C54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C54">
        <w:rPr>
          <w:rFonts w:ascii="Arial" w:hAnsi="Arial" w:cs="Arial"/>
          <w:sz w:val="20"/>
          <w:szCs w:val="20"/>
        </w:rPr>
        <w:t xml:space="preserve">Reason for </w:t>
      </w:r>
      <w:r w:rsidR="00EF7457">
        <w:rPr>
          <w:rFonts w:ascii="Arial" w:hAnsi="Arial" w:cs="Arial"/>
          <w:sz w:val="20"/>
          <w:szCs w:val="20"/>
        </w:rPr>
        <w:t xml:space="preserve">the </w:t>
      </w:r>
      <w:r w:rsidRPr="008D5C54">
        <w:rPr>
          <w:rFonts w:ascii="Arial" w:hAnsi="Arial" w:cs="Arial"/>
          <w:sz w:val="20"/>
          <w:szCs w:val="20"/>
        </w:rPr>
        <w:t xml:space="preserve">difference: in the 2019 financial statements, the </w:t>
      </w:r>
      <w:r w:rsidR="000E5BBD">
        <w:rPr>
          <w:rFonts w:ascii="Arial" w:hAnsi="Arial" w:cs="Arial"/>
          <w:sz w:val="20"/>
          <w:szCs w:val="20"/>
        </w:rPr>
        <w:t>financial income</w:t>
      </w:r>
      <w:r w:rsidRPr="008D5C54">
        <w:rPr>
          <w:rFonts w:ascii="Arial" w:hAnsi="Arial" w:cs="Arial"/>
          <w:sz w:val="20"/>
          <w:szCs w:val="20"/>
        </w:rPr>
        <w:t xml:space="preserve"> in 2019 increased compared to the </w:t>
      </w:r>
      <w:r w:rsidR="000E5BBD">
        <w:rPr>
          <w:rFonts w:ascii="Arial" w:hAnsi="Arial" w:cs="Arial"/>
          <w:sz w:val="20"/>
          <w:szCs w:val="20"/>
        </w:rPr>
        <w:t>financial income</w:t>
      </w:r>
      <w:r w:rsidR="000E5BBD" w:rsidRPr="008D5C54">
        <w:rPr>
          <w:rFonts w:ascii="Arial" w:hAnsi="Arial" w:cs="Arial"/>
          <w:sz w:val="20"/>
          <w:szCs w:val="20"/>
        </w:rPr>
        <w:t xml:space="preserve"> </w:t>
      </w:r>
      <w:r w:rsidRPr="008D5C54">
        <w:rPr>
          <w:rFonts w:ascii="Arial" w:hAnsi="Arial" w:cs="Arial"/>
          <w:sz w:val="20"/>
          <w:szCs w:val="20"/>
        </w:rPr>
        <w:t xml:space="preserve">in 2018: </w:t>
      </w:r>
      <w:r w:rsidR="000E5BBD" w:rsidRPr="008D5C54">
        <w:rPr>
          <w:rFonts w:ascii="Arial" w:hAnsi="Arial" w:cs="Arial"/>
          <w:sz w:val="20"/>
          <w:szCs w:val="20"/>
        </w:rPr>
        <w:t>VND</w:t>
      </w:r>
      <w:r w:rsidR="000E5BBD" w:rsidRPr="008D5C54">
        <w:rPr>
          <w:rFonts w:ascii="Arial" w:hAnsi="Arial" w:cs="Arial"/>
          <w:sz w:val="20"/>
          <w:szCs w:val="20"/>
        </w:rPr>
        <w:t xml:space="preserve"> </w:t>
      </w:r>
      <w:r w:rsidR="000E5BBD">
        <w:rPr>
          <w:rFonts w:ascii="Arial" w:hAnsi="Arial" w:cs="Arial"/>
          <w:sz w:val="20"/>
          <w:szCs w:val="20"/>
        </w:rPr>
        <w:t>13,</w:t>
      </w:r>
      <w:r w:rsidRPr="008D5C54">
        <w:rPr>
          <w:rFonts w:ascii="Arial" w:hAnsi="Arial" w:cs="Arial"/>
          <w:sz w:val="20"/>
          <w:szCs w:val="20"/>
        </w:rPr>
        <w:t>570 billion, resulting in a</w:t>
      </w:r>
      <w:r w:rsidR="000E5BBD">
        <w:rPr>
          <w:rFonts w:ascii="Arial" w:hAnsi="Arial" w:cs="Arial"/>
          <w:sz w:val="20"/>
          <w:szCs w:val="20"/>
        </w:rPr>
        <w:t>n</w:t>
      </w:r>
      <w:r w:rsidRPr="008D5C54">
        <w:rPr>
          <w:rFonts w:ascii="Arial" w:hAnsi="Arial" w:cs="Arial"/>
          <w:sz w:val="20"/>
          <w:szCs w:val="20"/>
        </w:rPr>
        <w:t xml:space="preserve"> increase </w:t>
      </w:r>
      <w:r w:rsidR="000E5BBD">
        <w:rPr>
          <w:rFonts w:ascii="Arial" w:hAnsi="Arial" w:cs="Arial"/>
          <w:sz w:val="20"/>
          <w:szCs w:val="20"/>
        </w:rPr>
        <w:t xml:space="preserve">of over </w:t>
      </w:r>
      <w:r w:rsidR="000E5BBD" w:rsidRPr="008D5C54">
        <w:rPr>
          <w:rFonts w:ascii="Arial" w:hAnsi="Arial" w:cs="Arial"/>
          <w:sz w:val="20"/>
          <w:szCs w:val="20"/>
        </w:rPr>
        <w:t xml:space="preserve">10% </w:t>
      </w:r>
      <w:r w:rsidRPr="008D5C54">
        <w:rPr>
          <w:rFonts w:ascii="Arial" w:hAnsi="Arial" w:cs="Arial"/>
          <w:sz w:val="20"/>
          <w:szCs w:val="20"/>
        </w:rPr>
        <w:t xml:space="preserve">in revenue and profit after tax </w:t>
      </w:r>
      <w:r w:rsidR="000E5BBD">
        <w:rPr>
          <w:rFonts w:ascii="Arial" w:hAnsi="Arial" w:cs="Arial"/>
          <w:sz w:val="20"/>
          <w:szCs w:val="20"/>
        </w:rPr>
        <w:t>year on year</w:t>
      </w:r>
    </w:p>
    <w:p w:rsidR="000E5BBD" w:rsidRDefault="000E5BBD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Pr="008D5C54">
        <w:rPr>
          <w:rFonts w:ascii="Arial" w:hAnsi="Arial" w:cs="Arial"/>
          <w:sz w:val="20"/>
          <w:szCs w:val="20"/>
        </w:rPr>
        <w:t xml:space="preserve">Explanation for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qualified opinion</w:t>
      </w:r>
    </w:p>
    <w:p w:rsidR="00204DDC" w:rsidRDefault="000E5BBD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5BBD">
        <w:rPr>
          <w:rFonts w:ascii="Arial" w:hAnsi="Arial" w:cs="Arial"/>
          <w:sz w:val="20"/>
          <w:szCs w:val="20"/>
        </w:rPr>
        <w:t xml:space="preserve">Our company has two opinions about the </w:t>
      </w:r>
      <w:r w:rsidR="00204DDC">
        <w:rPr>
          <w:rFonts w:ascii="Arial" w:hAnsi="Arial" w:cs="Arial"/>
          <w:sz w:val="20"/>
          <w:szCs w:val="20"/>
        </w:rPr>
        <w:t>qualified opinion</w:t>
      </w:r>
      <w:r w:rsidR="00204DDC">
        <w:rPr>
          <w:rFonts w:ascii="Arial" w:hAnsi="Arial" w:cs="Arial"/>
          <w:sz w:val="20"/>
          <w:szCs w:val="20"/>
        </w:rPr>
        <w:t xml:space="preserve"> as follows</w:t>
      </w:r>
      <w:r w:rsidRPr="000E5BBD">
        <w:rPr>
          <w:rFonts w:ascii="Arial" w:hAnsi="Arial" w:cs="Arial"/>
          <w:sz w:val="20"/>
          <w:szCs w:val="20"/>
        </w:rPr>
        <w:t xml:space="preserve">: </w:t>
      </w:r>
    </w:p>
    <w:p w:rsidR="00204DDC" w:rsidRDefault="00204DDC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E5BBD" w:rsidRPr="000E5BBD">
        <w:rPr>
          <w:rFonts w:ascii="Arial" w:hAnsi="Arial" w:cs="Arial"/>
          <w:sz w:val="20"/>
          <w:szCs w:val="20"/>
        </w:rPr>
        <w:t xml:space="preserve">Regarding the determination of </w:t>
      </w:r>
      <w:r>
        <w:rPr>
          <w:rFonts w:ascii="Arial" w:hAnsi="Arial" w:cs="Arial"/>
          <w:sz w:val="20"/>
          <w:szCs w:val="20"/>
        </w:rPr>
        <w:t>work in progress</w:t>
      </w:r>
      <w:r w:rsidR="000E5BBD" w:rsidRPr="000E5BBD">
        <w:rPr>
          <w:rFonts w:ascii="Arial" w:hAnsi="Arial" w:cs="Arial"/>
          <w:sz w:val="20"/>
          <w:szCs w:val="20"/>
        </w:rPr>
        <w:t xml:space="preserve"> ​​</w:t>
      </w:r>
      <w:r>
        <w:rPr>
          <w:rFonts w:ascii="Arial" w:hAnsi="Arial" w:cs="Arial"/>
          <w:sz w:val="20"/>
          <w:szCs w:val="20"/>
        </w:rPr>
        <w:t>on December 31, 2019, w</w:t>
      </w:r>
      <w:r w:rsidR="000E5BBD" w:rsidRPr="000E5BBD">
        <w:rPr>
          <w:rFonts w:ascii="Arial" w:hAnsi="Arial" w:cs="Arial"/>
          <w:sz w:val="20"/>
          <w:szCs w:val="20"/>
        </w:rPr>
        <w:t xml:space="preserve">e recorded and presented appropriately the actual work in progress of the Company </w:t>
      </w:r>
      <w:r>
        <w:rPr>
          <w:rFonts w:ascii="Arial" w:hAnsi="Arial" w:cs="Arial"/>
          <w:sz w:val="20"/>
          <w:szCs w:val="20"/>
        </w:rPr>
        <w:t>in</w:t>
      </w:r>
      <w:r w:rsidR="000E5BBD" w:rsidRPr="000E5BBD">
        <w:rPr>
          <w:rFonts w:ascii="Arial" w:hAnsi="Arial" w:cs="Arial"/>
          <w:sz w:val="20"/>
          <w:szCs w:val="20"/>
        </w:rPr>
        <w:t xml:space="preserve"> the Balance Sheet for the</w:t>
      </w:r>
      <w:r>
        <w:rPr>
          <w:rFonts w:ascii="Arial" w:hAnsi="Arial" w:cs="Arial"/>
          <w:sz w:val="20"/>
          <w:szCs w:val="20"/>
        </w:rPr>
        <w:t xml:space="preserve"> fiscal</w:t>
      </w:r>
      <w:r w:rsidR="000E5BBD" w:rsidRPr="000E5BBD">
        <w:rPr>
          <w:rFonts w:ascii="Arial" w:hAnsi="Arial" w:cs="Arial"/>
          <w:sz w:val="20"/>
          <w:szCs w:val="20"/>
        </w:rPr>
        <w:t xml:space="preserve"> year ended </w:t>
      </w:r>
      <w:r>
        <w:rPr>
          <w:rFonts w:ascii="Arial" w:hAnsi="Arial" w:cs="Arial"/>
          <w:sz w:val="20"/>
          <w:szCs w:val="20"/>
        </w:rPr>
        <w:t>on 31 December 2019.</w:t>
      </w:r>
      <w:r w:rsidR="000E5BBD" w:rsidRPr="000E5BBD">
        <w:rPr>
          <w:rFonts w:ascii="Arial" w:hAnsi="Arial" w:cs="Arial"/>
          <w:sz w:val="20"/>
          <w:szCs w:val="20"/>
        </w:rPr>
        <w:t xml:space="preserve"> We </w:t>
      </w:r>
      <w:r>
        <w:rPr>
          <w:rFonts w:ascii="Arial" w:hAnsi="Arial" w:cs="Arial"/>
          <w:sz w:val="20"/>
          <w:szCs w:val="20"/>
        </w:rPr>
        <w:t>commit</w:t>
      </w:r>
      <w:r w:rsidR="000E5BBD" w:rsidRPr="000E5BBD">
        <w:rPr>
          <w:rFonts w:ascii="Arial" w:hAnsi="Arial" w:cs="Arial"/>
          <w:sz w:val="20"/>
          <w:szCs w:val="20"/>
        </w:rPr>
        <w:t xml:space="preserve"> to the existence as well as the possible future value of these expenses as the basis for not making provision for devaluation of inventories </w:t>
      </w:r>
      <w:r>
        <w:rPr>
          <w:rFonts w:ascii="Arial" w:hAnsi="Arial" w:cs="Arial"/>
          <w:sz w:val="20"/>
          <w:szCs w:val="20"/>
        </w:rPr>
        <w:t>on December 31, 2019</w:t>
      </w:r>
    </w:p>
    <w:p w:rsidR="000E5BBD" w:rsidRDefault="00204DDC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E5BBD" w:rsidRPr="000E5BBD">
        <w:rPr>
          <w:rFonts w:ascii="Arial" w:hAnsi="Arial" w:cs="Arial"/>
          <w:sz w:val="20"/>
          <w:szCs w:val="20"/>
        </w:rPr>
        <w:t xml:space="preserve">The project of a center for public </w:t>
      </w:r>
      <w:r w:rsidRPr="000E5BBD">
        <w:rPr>
          <w:rFonts w:ascii="Arial" w:hAnsi="Arial" w:cs="Arial"/>
          <w:sz w:val="20"/>
          <w:szCs w:val="20"/>
        </w:rPr>
        <w:t xml:space="preserve">trade </w:t>
      </w:r>
      <w:r>
        <w:rPr>
          <w:rFonts w:ascii="Arial" w:hAnsi="Arial" w:cs="Arial"/>
          <w:sz w:val="20"/>
          <w:szCs w:val="20"/>
        </w:rPr>
        <w:t xml:space="preserve">and </w:t>
      </w:r>
      <w:r w:rsidR="000E5BBD" w:rsidRPr="000E5BBD">
        <w:rPr>
          <w:rFonts w:ascii="Arial" w:hAnsi="Arial" w:cs="Arial"/>
          <w:sz w:val="20"/>
          <w:szCs w:val="20"/>
        </w:rPr>
        <w:t xml:space="preserve">services, parking lots and high-rise apartment buildings at </w:t>
      </w:r>
      <w:r>
        <w:rPr>
          <w:rFonts w:ascii="Arial" w:hAnsi="Arial" w:cs="Arial"/>
          <w:sz w:val="20"/>
          <w:szCs w:val="20"/>
        </w:rPr>
        <w:t>No.</w:t>
      </w:r>
      <w:r w:rsidR="000E5BBD" w:rsidRPr="000E5BBD">
        <w:rPr>
          <w:rFonts w:ascii="Arial" w:hAnsi="Arial" w:cs="Arial"/>
          <w:sz w:val="20"/>
          <w:szCs w:val="20"/>
        </w:rPr>
        <w:t xml:space="preserve">01 </w:t>
      </w:r>
      <w:proofErr w:type="spellStart"/>
      <w:r w:rsidR="000E5BBD" w:rsidRPr="000E5BBD">
        <w:rPr>
          <w:rFonts w:ascii="Arial" w:hAnsi="Arial" w:cs="Arial"/>
          <w:sz w:val="20"/>
          <w:szCs w:val="20"/>
        </w:rPr>
        <w:t>Luong</w:t>
      </w:r>
      <w:proofErr w:type="spellEnd"/>
      <w:r w:rsidR="000E5BBD" w:rsidRPr="000E5BBD">
        <w:rPr>
          <w:rFonts w:ascii="Arial" w:hAnsi="Arial" w:cs="Arial"/>
          <w:sz w:val="20"/>
          <w:szCs w:val="20"/>
        </w:rPr>
        <w:t xml:space="preserve"> Yen, Bach Dang Ward, </w:t>
      </w:r>
      <w:proofErr w:type="spellStart"/>
      <w:r w:rsidR="000E5BBD" w:rsidRPr="000E5BBD">
        <w:rPr>
          <w:rFonts w:ascii="Arial" w:hAnsi="Arial" w:cs="Arial"/>
          <w:sz w:val="20"/>
          <w:szCs w:val="20"/>
        </w:rPr>
        <w:t>Hai</w:t>
      </w:r>
      <w:proofErr w:type="spellEnd"/>
      <w:r w:rsidR="000E5BBD" w:rsidRPr="000E5BBD">
        <w:rPr>
          <w:rFonts w:ascii="Arial" w:hAnsi="Arial" w:cs="Arial"/>
          <w:sz w:val="20"/>
          <w:szCs w:val="20"/>
        </w:rPr>
        <w:t xml:space="preserve"> Ba </w:t>
      </w:r>
      <w:proofErr w:type="spellStart"/>
      <w:r w:rsidR="000E5BBD" w:rsidRPr="000E5BBD">
        <w:rPr>
          <w:rFonts w:ascii="Arial" w:hAnsi="Arial" w:cs="Arial"/>
          <w:sz w:val="20"/>
          <w:szCs w:val="20"/>
        </w:rPr>
        <w:t>Trung</w:t>
      </w:r>
      <w:proofErr w:type="spellEnd"/>
      <w:r w:rsidR="000E5BBD" w:rsidRPr="000E5BBD">
        <w:rPr>
          <w:rFonts w:ascii="Arial" w:hAnsi="Arial" w:cs="Arial"/>
          <w:sz w:val="20"/>
          <w:szCs w:val="20"/>
        </w:rPr>
        <w:t xml:space="preserve"> District, </w:t>
      </w:r>
      <w:proofErr w:type="gramStart"/>
      <w:r w:rsidR="000E5BBD" w:rsidRPr="000E5BBD">
        <w:rPr>
          <w:rFonts w:ascii="Arial" w:hAnsi="Arial" w:cs="Arial"/>
          <w:sz w:val="20"/>
          <w:szCs w:val="20"/>
        </w:rPr>
        <w:t>Hanoi</w:t>
      </w:r>
      <w:proofErr w:type="gramEnd"/>
      <w:r w:rsidR="000E5BBD" w:rsidRPr="000E5BBD">
        <w:rPr>
          <w:rFonts w:ascii="Arial" w:hAnsi="Arial" w:cs="Arial"/>
          <w:sz w:val="20"/>
          <w:szCs w:val="20"/>
        </w:rPr>
        <w:t xml:space="preserve"> City </w:t>
      </w:r>
      <w:r>
        <w:rPr>
          <w:rFonts w:ascii="Arial" w:hAnsi="Arial" w:cs="Arial"/>
          <w:sz w:val="20"/>
          <w:szCs w:val="20"/>
        </w:rPr>
        <w:t>was</w:t>
      </w:r>
      <w:r w:rsidR="000E5BBD" w:rsidRPr="000E5BBD">
        <w:rPr>
          <w:rFonts w:ascii="Arial" w:hAnsi="Arial" w:cs="Arial"/>
          <w:sz w:val="20"/>
          <w:szCs w:val="20"/>
        </w:rPr>
        <w:t xml:space="preserve"> completed and put into use </w:t>
      </w:r>
      <w:r>
        <w:rPr>
          <w:rFonts w:ascii="Arial" w:hAnsi="Arial" w:cs="Arial"/>
          <w:sz w:val="20"/>
          <w:szCs w:val="20"/>
        </w:rPr>
        <w:t>in 2016.</w:t>
      </w:r>
      <w:r w:rsidR="000E5BBD" w:rsidRPr="000E5B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="000E5BBD" w:rsidRPr="000E5BBD">
        <w:rPr>
          <w:rFonts w:ascii="Arial" w:hAnsi="Arial" w:cs="Arial"/>
          <w:sz w:val="20"/>
          <w:szCs w:val="20"/>
        </w:rPr>
        <w:t xml:space="preserve"> December 31, 2019, the items of the fire protection system and ancillary works of the project had balances of VND</w:t>
      </w:r>
      <w:r>
        <w:rPr>
          <w:rFonts w:ascii="Arial" w:hAnsi="Arial" w:cs="Arial"/>
          <w:sz w:val="20"/>
          <w:szCs w:val="20"/>
        </w:rPr>
        <w:t xml:space="preserve"> 3.</w:t>
      </w:r>
      <w:r w:rsidR="000E5BBD" w:rsidRPr="000E5BBD">
        <w:rPr>
          <w:rFonts w:ascii="Arial" w:hAnsi="Arial" w:cs="Arial"/>
          <w:sz w:val="20"/>
          <w:szCs w:val="20"/>
        </w:rPr>
        <w:t>58 billion and VND</w:t>
      </w:r>
      <w:r>
        <w:rPr>
          <w:rFonts w:ascii="Arial" w:hAnsi="Arial" w:cs="Arial"/>
          <w:sz w:val="20"/>
          <w:szCs w:val="20"/>
        </w:rPr>
        <w:t xml:space="preserve"> 5.37 billion</w:t>
      </w:r>
      <w:r w:rsidR="000E5BBD" w:rsidRPr="000E5BBD">
        <w:rPr>
          <w:rFonts w:ascii="Arial" w:hAnsi="Arial" w:cs="Arial"/>
          <w:sz w:val="20"/>
          <w:szCs w:val="20"/>
        </w:rPr>
        <w:t xml:space="preserve"> respectively.  These items were originally designed in accordance with the regulations of the State, but up to now, due to </w:t>
      </w:r>
      <w:r w:rsidR="007D449B">
        <w:rPr>
          <w:rFonts w:ascii="Arial" w:hAnsi="Arial" w:cs="Arial"/>
          <w:sz w:val="20"/>
          <w:szCs w:val="20"/>
        </w:rPr>
        <w:t xml:space="preserve">the changes in </w:t>
      </w:r>
      <w:r w:rsidR="000E5BBD" w:rsidRPr="000E5BBD">
        <w:rPr>
          <w:rFonts w:ascii="Arial" w:hAnsi="Arial" w:cs="Arial"/>
          <w:sz w:val="20"/>
          <w:szCs w:val="20"/>
        </w:rPr>
        <w:t>the State's standards, these it</w:t>
      </w:r>
      <w:r w:rsidR="007D449B">
        <w:rPr>
          <w:rFonts w:ascii="Arial" w:hAnsi="Arial" w:cs="Arial"/>
          <w:sz w:val="20"/>
          <w:szCs w:val="20"/>
        </w:rPr>
        <w:t xml:space="preserve">ems need to be supplemented. </w:t>
      </w:r>
      <w:r w:rsidR="000E5BBD" w:rsidRPr="000E5BBD">
        <w:rPr>
          <w:rFonts w:ascii="Arial" w:hAnsi="Arial" w:cs="Arial"/>
          <w:sz w:val="20"/>
          <w:szCs w:val="20"/>
        </w:rPr>
        <w:t xml:space="preserve">Therefore the work has not been completed </w:t>
      </w:r>
      <w:r w:rsidR="007D449B">
        <w:rPr>
          <w:rFonts w:ascii="Arial" w:hAnsi="Arial" w:cs="Arial"/>
          <w:sz w:val="20"/>
          <w:szCs w:val="20"/>
        </w:rPr>
        <w:t xml:space="preserve">about </w:t>
      </w:r>
      <w:r w:rsidR="000E5BBD" w:rsidRPr="000E5BBD">
        <w:rPr>
          <w:rFonts w:ascii="Arial" w:hAnsi="Arial" w:cs="Arial"/>
          <w:sz w:val="20"/>
          <w:szCs w:val="20"/>
        </w:rPr>
        <w:t>the se</w:t>
      </w:r>
      <w:r w:rsidR="007D449B">
        <w:rPr>
          <w:rFonts w:ascii="Arial" w:hAnsi="Arial" w:cs="Arial"/>
          <w:sz w:val="20"/>
          <w:szCs w:val="20"/>
        </w:rPr>
        <w:t>ttlement of basic construction.</w:t>
      </w:r>
      <w:r w:rsidR="000E5BBD" w:rsidRPr="000E5BBD">
        <w:rPr>
          <w:rFonts w:ascii="Arial" w:hAnsi="Arial" w:cs="Arial"/>
          <w:sz w:val="20"/>
          <w:szCs w:val="20"/>
        </w:rPr>
        <w:t xml:space="preserve"> We </w:t>
      </w:r>
      <w:r w:rsidR="007D449B">
        <w:rPr>
          <w:rFonts w:ascii="Arial" w:hAnsi="Arial" w:cs="Arial"/>
          <w:sz w:val="20"/>
          <w:szCs w:val="20"/>
        </w:rPr>
        <w:t>commit</w:t>
      </w:r>
      <w:r w:rsidR="000E5BBD" w:rsidRPr="000E5BBD">
        <w:rPr>
          <w:rFonts w:ascii="Arial" w:hAnsi="Arial" w:cs="Arial"/>
          <w:sz w:val="20"/>
          <w:szCs w:val="20"/>
        </w:rPr>
        <w:t xml:space="preserve"> to completing this work soon in the near future and will make adjustments to the value of the work when the settlement is approv</w:t>
      </w:r>
      <w:r w:rsidR="007D449B">
        <w:rPr>
          <w:rFonts w:ascii="Arial" w:hAnsi="Arial" w:cs="Arial"/>
          <w:sz w:val="20"/>
          <w:szCs w:val="20"/>
        </w:rPr>
        <w:t>ed</w:t>
      </w:r>
      <w:bookmarkStart w:id="0" w:name="_GoBack"/>
      <w:bookmarkEnd w:id="0"/>
    </w:p>
    <w:sectPr w:rsidR="000E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A79D8"/>
    <w:rsid w:val="000E15ED"/>
    <w:rsid w:val="000E5BBD"/>
    <w:rsid w:val="00125C9D"/>
    <w:rsid w:val="001654BA"/>
    <w:rsid w:val="00204DDC"/>
    <w:rsid w:val="00244C92"/>
    <w:rsid w:val="0026711C"/>
    <w:rsid w:val="00293FEB"/>
    <w:rsid w:val="002B59F4"/>
    <w:rsid w:val="00303E63"/>
    <w:rsid w:val="00330005"/>
    <w:rsid w:val="00346788"/>
    <w:rsid w:val="003A771E"/>
    <w:rsid w:val="003B2570"/>
    <w:rsid w:val="00467BC0"/>
    <w:rsid w:val="00496733"/>
    <w:rsid w:val="004B0E3B"/>
    <w:rsid w:val="004C7900"/>
    <w:rsid w:val="005B0276"/>
    <w:rsid w:val="005E7D00"/>
    <w:rsid w:val="00695103"/>
    <w:rsid w:val="006E13A2"/>
    <w:rsid w:val="00701F46"/>
    <w:rsid w:val="007028B7"/>
    <w:rsid w:val="00745D9A"/>
    <w:rsid w:val="007D449B"/>
    <w:rsid w:val="007F7DB7"/>
    <w:rsid w:val="008078B6"/>
    <w:rsid w:val="0088081B"/>
    <w:rsid w:val="008854CF"/>
    <w:rsid w:val="00887C3A"/>
    <w:rsid w:val="008D5C54"/>
    <w:rsid w:val="00981C95"/>
    <w:rsid w:val="00A62855"/>
    <w:rsid w:val="00A81EB3"/>
    <w:rsid w:val="00AA01BA"/>
    <w:rsid w:val="00AF67BE"/>
    <w:rsid w:val="00B40E78"/>
    <w:rsid w:val="00BC16A6"/>
    <w:rsid w:val="00C324E9"/>
    <w:rsid w:val="00C72FFB"/>
    <w:rsid w:val="00CA6F06"/>
    <w:rsid w:val="00CC15D8"/>
    <w:rsid w:val="00E11EBD"/>
    <w:rsid w:val="00E36A48"/>
    <w:rsid w:val="00ED31AF"/>
    <w:rsid w:val="00EF7457"/>
    <w:rsid w:val="00F02E19"/>
    <w:rsid w:val="00F163FC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61</cp:revision>
  <dcterms:created xsi:type="dcterms:W3CDTF">2019-10-16T10:03:00Z</dcterms:created>
  <dcterms:modified xsi:type="dcterms:W3CDTF">2020-04-08T12:46:00Z</dcterms:modified>
</cp:coreProperties>
</file>